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bookmarkStart w:id="0" w:name="_GoBack"/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bookmarkEnd w:id="0"/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т.ч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53AD74F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</w:t>
      </w:r>
      <w:r w:rsidR="004B3040">
        <w:rPr>
          <w:rFonts w:ascii="Times New Roman" w:hAnsi="Times New Roman" w:cs="Times New Roman"/>
          <w:color w:val="000000"/>
          <w:kern w:val="0"/>
          <w:sz w:val="28"/>
          <w:szCs w:val="28"/>
        </w:rPr>
        <w:t>ять заявление от родителей (за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конных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про- грамм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 дуальный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Минобрнауки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91"/>
        <w:gridCol w:w="4594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5. Единый национальный портал дополнительного образования детей. Ре-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D6"/>
    <w:rsid w:val="004709E8"/>
    <w:rsid w:val="004B3040"/>
    <w:rsid w:val="00570D06"/>
    <w:rsid w:val="006A5CD4"/>
    <w:rsid w:val="00770744"/>
    <w:rsid w:val="00903C64"/>
    <w:rsid w:val="00924D2F"/>
    <w:rsid w:val="009A1E53"/>
    <w:rsid w:val="00A81520"/>
    <w:rsid w:val="00C004D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  <w15:docId w15:val="{EBFCCF3A-7F9A-4B75-8DBF-7E455722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Расим</cp:lastModifiedBy>
  <cp:revision>2</cp:revision>
  <dcterms:created xsi:type="dcterms:W3CDTF">2024-02-19T20:11:00Z</dcterms:created>
  <dcterms:modified xsi:type="dcterms:W3CDTF">2024-02-19T20:11:00Z</dcterms:modified>
</cp:coreProperties>
</file>